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b/>
          <w:sz w:val="44"/>
          <w:szCs w:val="22"/>
          <w:lang w:val="en-US" w:eastAsia="zh-CN"/>
        </w:rPr>
      </w:pPr>
      <w:r>
        <w:rPr>
          <w:rFonts w:hint="eastAsia" w:ascii="仿宋_GB2312" w:eastAsia="仿宋_GB2312"/>
          <w:b/>
          <w:sz w:val="44"/>
          <w:szCs w:val="22"/>
          <w:lang w:eastAsia="zh-CN"/>
        </w:rPr>
        <w:t>询比</w:t>
      </w:r>
      <w:r>
        <w:rPr>
          <w:rFonts w:hint="eastAsia" w:ascii="仿宋_GB2312" w:eastAsia="仿宋_GB2312"/>
          <w:b/>
          <w:sz w:val="44"/>
          <w:szCs w:val="22"/>
        </w:rPr>
        <w:t>采购报价单</w:t>
      </w:r>
      <w:r>
        <w:rPr>
          <w:rFonts w:hint="eastAsia" w:ascii="仿宋_GB2312" w:eastAsia="仿宋_GB2312"/>
          <w:b/>
          <w:sz w:val="44"/>
          <w:szCs w:val="22"/>
          <w:lang w:eastAsia="zh-CN"/>
        </w:rPr>
        <w:t>（</w:t>
      </w:r>
      <w:r>
        <w:rPr>
          <w:rFonts w:hint="eastAsia" w:ascii="仿宋_GB2312" w:eastAsia="仿宋_GB2312"/>
          <w:b/>
          <w:sz w:val="44"/>
          <w:szCs w:val="22"/>
          <w:lang w:val="en-US" w:eastAsia="zh-CN"/>
        </w:rPr>
        <w:t>第一轮</w:t>
      </w:r>
      <w:r>
        <w:rPr>
          <w:rFonts w:hint="eastAsia" w:ascii="仿宋_GB2312" w:eastAsia="仿宋_GB2312"/>
          <w:b/>
          <w:sz w:val="44"/>
          <w:szCs w:val="22"/>
          <w:lang w:eastAsia="zh-CN"/>
        </w:rPr>
        <w:t>）</w:t>
      </w:r>
      <w:r>
        <w:rPr>
          <w:rFonts w:hint="eastAsia" w:ascii="仿宋_GB2312" w:eastAsia="仿宋_GB2312"/>
          <w:b/>
          <w:sz w:val="44"/>
          <w:szCs w:val="22"/>
          <w:lang w:val="en-US" w:eastAsia="zh-CN"/>
        </w:rPr>
        <w:t xml:space="preserve"> </w:t>
      </w:r>
    </w:p>
    <w:p>
      <w:pPr>
        <w:jc w:val="center"/>
        <w:rPr>
          <w:rFonts w:ascii="仿宋_GB2312" w:eastAsia="仿宋_GB2312"/>
          <w:b/>
          <w:sz w:val="20"/>
          <w:szCs w:val="20"/>
        </w:rPr>
      </w:pPr>
      <w:r>
        <w:rPr>
          <w:rFonts w:hint="eastAsia" w:ascii="仿宋_GB2312" w:eastAsia="仿宋_GB2312"/>
          <w:b/>
          <w:sz w:val="22"/>
          <w:szCs w:val="22"/>
          <w:lang w:val="en-US" w:eastAsia="zh-CN"/>
        </w:rPr>
        <w:t xml:space="preserve">                                                                </w:t>
      </w:r>
    </w:p>
    <w:tbl>
      <w:tblPr>
        <w:tblStyle w:val="11"/>
        <w:tblW w:w="997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81"/>
        <w:gridCol w:w="4009"/>
        <w:gridCol w:w="1142"/>
        <w:gridCol w:w="1016"/>
        <w:gridCol w:w="1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71" w:type="dxa"/>
            <w:gridSpan w:val="2"/>
            <w:vAlign w:val="center"/>
          </w:tcPr>
          <w:p>
            <w:pPr>
              <w:spacing w:line="480" w:lineRule="exact"/>
              <w:jc w:val="center"/>
              <w:rPr>
                <w:rFonts w:hint="eastAsia" w:ascii="微软雅黑" w:hAnsi="微软雅黑" w:eastAsia="宋体" w:cs="Arial"/>
                <w:color w:val="1E1E1E"/>
                <w:kern w:val="36"/>
                <w:sz w:val="22"/>
                <w:szCs w:val="22"/>
              </w:rPr>
            </w:pPr>
            <w:r>
              <w:rPr>
                <w:rFonts w:hint="eastAsia" w:ascii="微软雅黑" w:hAnsi="微软雅黑" w:eastAsia="宋体" w:cs="Arial"/>
                <w:color w:val="1E1E1E"/>
                <w:kern w:val="36"/>
                <w:sz w:val="22"/>
                <w:szCs w:val="22"/>
              </w:rPr>
              <w:t xml:space="preserve">采购单位 </w:t>
            </w:r>
          </w:p>
        </w:tc>
        <w:tc>
          <w:tcPr>
            <w:tcW w:w="5151" w:type="dxa"/>
            <w:gridSpan w:val="2"/>
            <w:vAlign w:val="center"/>
          </w:tcPr>
          <w:p>
            <w:pPr>
              <w:spacing w:line="480" w:lineRule="exact"/>
              <w:jc w:val="center"/>
              <w:rPr>
                <w:rFonts w:hint="default" w:ascii="微软雅黑" w:hAnsi="微软雅黑" w:eastAsia="宋体" w:cs="Arial"/>
                <w:color w:val="1E1E1E"/>
                <w:kern w:val="36"/>
                <w:sz w:val="22"/>
                <w:szCs w:val="22"/>
                <w:lang w:val="en-US"/>
              </w:rPr>
            </w:pPr>
            <w:r>
              <w:rPr>
                <w:rFonts w:hint="eastAsia" w:ascii="微软雅黑" w:hAnsi="微软雅黑" w:eastAsia="宋体" w:cs="Arial"/>
                <w:color w:val="1E1E1E"/>
                <w:kern w:val="36"/>
                <w:sz w:val="22"/>
                <w:szCs w:val="22"/>
              </w:rPr>
              <w:t>枝江市金润源水务有限公司</w:t>
            </w:r>
          </w:p>
        </w:tc>
        <w:tc>
          <w:tcPr>
            <w:tcW w:w="1016" w:type="dxa"/>
            <w:vAlign w:val="center"/>
          </w:tcPr>
          <w:p>
            <w:pPr>
              <w:spacing w:line="480" w:lineRule="exact"/>
              <w:jc w:val="center"/>
              <w:rPr>
                <w:rFonts w:hAnsi="宋体" w:cs="宋体"/>
                <w:sz w:val="22"/>
                <w:szCs w:val="22"/>
              </w:rPr>
            </w:pPr>
            <w:r>
              <w:rPr>
                <w:rFonts w:hint="eastAsia" w:hAnsi="宋体" w:eastAsia="宋体" w:cs="宋体"/>
                <w:sz w:val="22"/>
                <w:szCs w:val="22"/>
              </w:rPr>
              <w:t>经办人</w:t>
            </w:r>
          </w:p>
        </w:tc>
        <w:tc>
          <w:tcPr>
            <w:tcW w:w="1840" w:type="dxa"/>
            <w:vAlign w:val="center"/>
          </w:tcPr>
          <w:p>
            <w:pPr>
              <w:pStyle w:val="6"/>
              <w:jc w:val="both"/>
              <w:rPr>
                <w:rFonts w:hint="default" w:eastAsia="宋体"/>
                <w:sz w:val="22"/>
                <w:szCs w:val="22"/>
                <w:lang w:val="en-US" w:eastAsia="zh-CN"/>
              </w:rPr>
            </w:pPr>
            <w:r>
              <w:rPr>
                <w:rFonts w:hint="eastAsia" w:eastAsia="宋体"/>
                <w:sz w:val="22"/>
                <w:szCs w:val="22"/>
                <w:lang w:val="en-US" w:eastAsia="zh-CN"/>
              </w:rPr>
              <w:t>万宇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71" w:type="dxa"/>
            <w:gridSpan w:val="2"/>
            <w:vAlign w:val="center"/>
          </w:tcPr>
          <w:p>
            <w:pPr>
              <w:spacing w:line="480" w:lineRule="exact"/>
              <w:jc w:val="center"/>
              <w:rPr>
                <w:rFonts w:hint="eastAsia" w:ascii="微软雅黑" w:hAnsi="微软雅黑" w:eastAsia="宋体" w:cs="Arial"/>
                <w:color w:val="1E1E1E"/>
                <w:kern w:val="36"/>
                <w:sz w:val="22"/>
                <w:szCs w:val="22"/>
              </w:rPr>
            </w:pPr>
            <w:r>
              <w:rPr>
                <w:rFonts w:hint="eastAsia" w:ascii="微软雅黑" w:hAnsi="微软雅黑" w:eastAsia="宋体" w:cs="Arial"/>
                <w:color w:val="1E1E1E"/>
                <w:kern w:val="36"/>
                <w:sz w:val="22"/>
                <w:szCs w:val="22"/>
              </w:rPr>
              <w:t>采购项目名称</w:t>
            </w:r>
          </w:p>
        </w:tc>
        <w:tc>
          <w:tcPr>
            <w:tcW w:w="5151" w:type="dxa"/>
            <w:gridSpan w:val="2"/>
            <w:vAlign w:val="center"/>
          </w:tcPr>
          <w:p>
            <w:pPr>
              <w:spacing w:line="480" w:lineRule="exact"/>
              <w:jc w:val="center"/>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水务公司2024年第三方水质检测服务单位采购</w:t>
            </w:r>
          </w:p>
        </w:tc>
        <w:tc>
          <w:tcPr>
            <w:tcW w:w="1016" w:type="dxa"/>
            <w:vAlign w:val="center"/>
          </w:tcPr>
          <w:p>
            <w:pPr>
              <w:spacing w:line="480" w:lineRule="exact"/>
              <w:jc w:val="center"/>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采购价</w:t>
            </w:r>
          </w:p>
        </w:tc>
        <w:tc>
          <w:tcPr>
            <w:tcW w:w="1840" w:type="dxa"/>
            <w:vAlign w:val="center"/>
          </w:tcPr>
          <w:p>
            <w:pPr>
              <w:spacing w:line="480" w:lineRule="exact"/>
              <w:jc w:val="center"/>
              <w:rPr>
                <w:rFonts w:hint="default"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44.6万元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jc w:val="center"/>
              <w:rPr>
                <w:rFonts w:hAnsi="宋体" w:cs="宋体"/>
                <w:sz w:val="22"/>
                <w:szCs w:val="22"/>
              </w:rPr>
            </w:pPr>
            <w:r>
              <w:rPr>
                <w:rFonts w:hint="eastAsia" w:hAnsi="宋体" w:cs="宋体"/>
                <w:sz w:val="22"/>
                <w:szCs w:val="22"/>
                <w:lang w:eastAsia="zh-CN"/>
              </w:rPr>
              <w:t>询比</w:t>
            </w:r>
            <w:r>
              <w:rPr>
                <w:rFonts w:hint="eastAsia" w:hAnsi="宋体" w:cs="宋体"/>
                <w:sz w:val="22"/>
                <w:szCs w:val="22"/>
              </w:rPr>
              <w:t>采购内容</w:t>
            </w:r>
          </w:p>
        </w:tc>
        <w:tc>
          <w:tcPr>
            <w:tcW w:w="800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根据《生活饮用水卫生标准》(GB5749-2022)、《城市供水水质标准》(CJ/T 206)等相关规范要求，为确保水质检测频率及数量，需委托第三方具有专业资质的水质检测机构对公司 2024 年度出厂水、原水、管网末梢水及二次供水水样进行检测。检测水样共计 94个。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restart"/>
            <w:vAlign w:val="center"/>
          </w:tcPr>
          <w:p>
            <w:pPr>
              <w:spacing w:line="300" w:lineRule="exact"/>
              <w:jc w:val="center"/>
              <w:rPr>
                <w:rFonts w:cs="宋体"/>
                <w:sz w:val="22"/>
                <w:szCs w:val="22"/>
              </w:rPr>
            </w:pPr>
            <w:r>
              <w:rPr>
                <w:rFonts w:hint="eastAsia" w:hAnsi="宋体" w:cs="宋体"/>
                <w:sz w:val="22"/>
                <w:szCs w:val="22"/>
              </w:rPr>
              <w:t>项目目标要求</w:t>
            </w:r>
          </w:p>
        </w:tc>
        <w:tc>
          <w:tcPr>
            <w:tcW w:w="1281" w:type="dxa"/>
            <w:vAlign w:val="center"/>
          </w:tcPr>
          <w:p>
            <w:pPr>
              <w:jc w:val="center"/>
              <w:rPr>
                <w:rFonts w:hint="eastAsia" w:cs="宋体" w:eastAsiaTheme="minorEastAsia"/>
                <w:sz w:val="22"/>
                <w:szCs w:val="22"/>
                <w:lang w:eastAsia="zh-CN"/>
              </w:rPr>
            </w:pPr>
            <w:r>
              <w:rPr>
                <w:rFonts w:hint="eastAsia" w:hAnsi="宋体" w:cs="宋体"/>
                <w:spacing w:val="-20"/>
                <w:sz w:val="22"/>
                <w:szCs w:val="22"/>
                <w:lang w:val="en-US" w:eastAsia="zh-CN"/>
              </w:rPr>
              <w:t>服务期限</w:t>
            </w:r>
          </w:p>
        </w:tc>
        <w:tc>
          <w:tcPr>
            <w:tcW w:w="800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continue"/>
            <w:vAlign w:val="center"/>
          </w:tcPr>
          <w:p>
            <w:pPr>
              <w:jc w:val="center"/>
              <w:rPr>
                <w:rFonts w:cs="宋体"/>
                <w:sz w:val="22"/>
                <w:szCs w:val="22"/>
              </w:rPr>
            </w:pPr>
          </w:p>
        </w:tc>
        <w:tc>
          <w:tcPr>
            <w:tcW w:w="1281" w:type="dxa"/>
            <w:vAlign w:val="center"/>
          </w:tcPr>
          <w:p>
            <w:pPr>
              <w:jc w:val="center"/>
              <w:rPr>
                <w:rFonts w:cs="宋体"/>
                <w:sz w:val="22"/>
                <w:szCs w:val="22"/>
              </w:rPr>
            </w:pPr>
            <w:r>
              <w:rPr>
                <w:rFonts w:hint="eastAsia" w:hAnsi="宋体" w:cs="宋体"/>
                <w:sz w:val="22"/>
                <w:szCs w:val="22"/>
              </w:rPr>
              <w:t>质</w:t>
            </w:r>
            <w:r>
              <w:rPr>
                <w:rFonts w:hint="eastAsia" w:hAnsi="宋体" w:cs="宋体"/>
                <w:sz w:val="22"/>
                <w:szCs w:val="22"/>
                <w:lang w:val="en-US" w:eastAsia="zh-CN"/>
              </w:rPr>
              <w:t xml:space="preserve"> </w:t>
            </w:r>
            <w:r>
              <w:rPr>
                <w:rFonts w:hint="eastAsia" w:hAnsi="宋体" w:cs="宋体"/>
                <w:sz w:val="22"/>
                <w:szCs w:val="22"/>
              </w:rPr>
              <w:t>量</w:t>
            </w:r>
          </w:p>
        </w:tc>
        <w:tc>
          <w:tcPr>
            <w:tcW w:w="8007" w:type="dxa"/>
            <w:gridSpan w:val="4"/>
            <w:vAlign w:val="center"/>
          </w:tcPr>
          <w:p>
            <w:pPr>
              <w:spacing w:line="480" w:lineRule="exact"/>
              <w:jc w:val="center"/>
              <w:rPr>
                <w:rFonts w:hint="eastAsia" w:ascii="微软雅黑" w:hAnsi="微软雅黑" w:eastAsia="宋体" w:cs="Arial"/>
                <w:color w:val="1E1E1E"/>
                <w:kern w:val="36"/>
                <w:sz w:val="22"/>
                <w:szCs w:val="22"/>
              </w:rPr>
            </w:pPr>
            <w:r>
              <w:rPr>
                <w:rFonts w:hint="eastAsia" w:ascii="微软雅黑" w:hAnsi="微软雅黑" w:eastAsia="宋体" w:cs="Arial"/>
                <w:color w:val="1E1E1E"/>
                <w:kern w:val="36"/>
                <w:sz w:val="22"/>
                <w:szCs w:val="22"/>
              </w:rPr>
              <w:t>符合现行国家及行业相关质量合格标准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continue"/>
            <w:vAlign w:val="center"/>
          </w:tcPr>
          <w:p>
            <w:pPr>
              <w:jc w:val="center"/>
              <w:rPr>
                <w:rFonts w:cs="宋体"/>
                <w:sz w:val="22"/>
                <w:szCs w:val="22"/>
              </w:rPr>
            </w:pPr>
          </w:p>
        </w:tc>
        <w:tc>
          <w:tcPr>
            <w:tcW w:w="1281" w:type="dxa"/>
            <w:vAlign w:val="center"/>
          </w:tcPr>
          <w:p>
            <w:pPr>
              <w:jc w:val="center"/>
              <w:textAlignment w:val="center"/>
              <w:rPr>
                <w:rFonts w:hAnsi="宋体" w:cs="宋体"/>
                <w:sz w:val="22"/>
                <w:szCs w:val="22"/>
              </w:rPr>
            </w:pPr>
            <w:r>
              <w:rPr>
                <w:rFonts w:hint="eastAsia" w:hAnsi="宋体" w:cs="宋体"/>
                <w:sz w:val="22"/>
                <w:szCs w:val="22"/>
              </w:rPr>
              <w:t>安 全</w:t>
            </w:r>
          </w:p>
        </w:tc>
        <w:tc>
          <w:tcPr>
            <w:tcW w:w="8007" w:type="dxa"/>
            <w:gridSpan w:val="4"/>
            <w:vAlign w:val="center"/>
          </w:tcPr>
          <w:p>
            <w:pPr>
              <w:spacing w:line="480" w:lineRule="exact"/>
              <w:jc w:val="center"/>
              <w:rPr>
                <w:rFonts w:hint="eastAsia" w:ascii="微软雅黑" w:hAnsi="微软雅黑" w:eastAsia="宋体" w:cs="Arial"/>
                <w:color w:val="1E1E1E"/>
                <w:kern w:val="36"/>
                <w:sz w:val="22"/>
                <w:szCs w:val="22"/>
              </w:rPr>
            </w:pPr>
            <w:r>
              <w:rPr>
                <w:rFonts w:hint="eastAsia" w:ascii="微软雅黑" w:hAnsi="微软雅黑" w:eastAsia="宋体" w:cs="Arial"/>
                <w:color w:val="1E1E1E"/>
                <w:kern w:val="36"/>
                <w:sz w:val="22"/>
                <w:szCs w:val="22"/>
                <w:lang w:val="en-US" w:eastAsia="zh-CN"/>
              </w:rPr>
              <w:t>本采购项目过程中发生安全事故由供应商承担责任、检测结果保密负责。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continue"/>
            <w:vAlign w:val="center"/>
          </w:tcPr>
          <w:p>
            <w:pPr>
              <w:jc w:val="center"/>
              <w:rPr>
                <w:rFonts w:cs="宋体"/>
                <w:sz w:val="22"/>
                <w:szCs w:val="22"/>
              </w:rPr>
            </w:pPr>
          </w:p>
        </w:tc>
        <w:tc>
          <w:tcPr>
            <w:tcW w:w="1281" w:type="dxa"/>
            <w:vAlign w:val="center"/>
          </w:tcPr>
          <w:p>
            <w:pPr>
              <w:jc w:val="center"/>
              <w:textAlignment w:val="center"/>
              <w:rPr>
                <w:rFonts w:hint="default" w:hAnsi="宋体" w:cs="宋体" w:eastAsiaTheme="minorEastAsia"/>
                <w:sz w:val="22"/>
                <w:szCs w:val="22"/>
                <w:lang w:val="en-US" w:eastAsia="zh-CN"/>
              </w:rPr>
            </w:pPr>
            <w:r>
              <w:rPr>
                <w:rFonts w:hint="eastAsia" w:hAnsi="宋体" w:cs="宋体"/>
                <w:sz w:val="22"/>
                <w:szCs w:val="22"/>
                <w:lang w:val="en-US" w:eastAsia="zh-CN"/>
              </w:rPr>
              <w:t>检测时效</w:t>
            </w:r>
          </w:p>
        </w:tc>
        <w:tc>
          <w:tcPr>
            <w:tcW w:w="8007" w:type="dxa"/>
            <w:gridSpan w:val="4"/>
            <w:vAlign w:val="center"/>
          </w:tcPr>
          <w:p>
            <w:pPr>
              <w:spacing w:line="480" w:lineRule="exact"/>
              <w:jc w:val="center"/>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每一项检测时效需符合现行国家及行业相关要求。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continue"/>
            <w:vAlign w:val="center"/>
          </w:tcPr>
          <w:p>
            <w:pPr>
              <w:jc w:val="center"/>
              <w:rPr>
                <w:rFonts w:cs="宋体"/>
                <w:sz w:val="22"/>
                <w:szCs w:val="22"/>
              </w:rPr>
            </w:pPr>
          </w:p>
        </w:tc>
        <w:tc>
          <w:tcPr>
            <w:tcW w:w="1281" w:type="dxa"/>
            <w:vAlign w:val="center"/>
          </w:tcPr>
          <w:p>
            <w:pPr>
              <w:jc w:val="center"/>
              <w:textAlignment w:val="center"/>
              <w:rPr>
                <w:rFonts w:hint="default" w:hAnsi="宋体" w:cs="宋体"/>
                <w:sz w:val="22"/>
                <w:szCs w:val="22"/>
                <w:lang w:val="en-US" w:eastAsia="zh-CN"/>
              </w:rPr>
            </w:pPr>
            <w:r>
              <w:rPr>
                <w:rFonts w:hint="eastAsia" w:hAnsi="宋体" w:cs="宋体"/>
                <w:sz w:val="22"/>
                <w:szCs w:val="22"/>
                <w:lang w:val="en-US" w:eastAsia="zh-CN"/>
              </w:rPr>
              <w:t>应急响应</w:t>
            </w:r>
          </w:p>
        </w:tc>
        <w:tc>
          <w:tcPr>
            <w:tcW w:w="8007" w:type="dxa"/>
            <w:gridSpan w:val="4"/>
            <w:vAlign w:val="center"/>
          </w:tcPr>
          <w:p>
            <w:pPr>
              <w:spacing w:line="480" w:lineRule="exact"/>
              <w:jc w:val="left"/>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具有应急检测车辆及必要的现场检测仪器设备， 包括采样器材、现场检测仪器设备、安全防护装备，且能进行无线远程数据传输、现场出具检测报告等。对采购人安排的检测任务必须 2 小时内响应，根据任务要求做好采样检测安排。在法定节假日应安排值班，确保按时完成采购人任务。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continue"/>
            <w:vAlign w:val="center"/>
          </w:tcPr>
          <w:p>
            <w:pPr>
              <w:jc w:val="center"/>
              <w:rPr>
                <w:rFonts w:cs="宋体"/>
                <w:sz w:val="22"/>
                <w:szCs w:val="22"/>
              </w:rPr>
            </w:pPr>
          </w:p>
        </w:tc>
        <w:tc>
          <w:tcPr>
            <w:tcW w:w="1281" w:type="dxa"/>
            <w:vAlign w:val="center"/>
          </w:tcPr>
          <w:p>
            <w:pPr>
              <w:jc w:val="center"/>
              <w:textAlignment w:val="center"/>
              <w:rPr>
                <w:rFonts w:hint="default" w:hAnsi="宋体" w:cs="宋体"/>
                <w:sz w:val="22"/>
                <w:szCs w:val="22"/>
                <w:lang w:val="en-US" w:eastAsia="zh-CN"/>
              </w:rPr>
            </w:pPr>
            <w:r>
              <w:rPr>
                <w:rFonts w:hint="eastAsia" w:hAnsi="宋体" w:cs="宋体"/>
                <w:sz w:val="22"/>
                <w:szCs w:val="22"/>
                <w:lang w:val="en-US" w:eastAsia="zh-CN"/>
              </w:rPr>
              <w:t>违约责任</w:t>
            </w:r>
          </w:p>
        </w:tc>
        <w:tc>
          <w:tcPr>
            <w:tcW w:w="8007" w:type="dxa"/>
            <w:gridSpan w:val="4"/>
            <w:vAlign w:val="center"/>
          </w:tcPr>
          <w:p>
            <w:pPr>
              <w:spacing w:line="480" w:lineRule="exact"/>
              <w:jc w:val="left"/>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1、供应商未按要求履行合同义务时，采购人有权拒绝支付合同金额，且供应商须向采购人支付合同总额 5%的赔偿金;供应商逾期未按照标准交付水质检测成果的，每逾期一日应按本合同总金额的2‰累计向采购人支付滞纳金，逾期15 日以上时(包括本数)，供应商有权终止合同并要求乙方按本合同总金额的 30%支付违约金。</w:t>
            </w:r>
          </w:p>
          <w:p>
            <w:pPr>
              <w:spacing w:line="480" w:lineRule="exact"/>
              <w:jc w:val="left"/>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2、如因成交供应商人员或设备不足导致应急任务滞后或服务质量不佳的，采购人有权要求其在合理范围内整改，整改后仍未达到要求的，采购人有权终止合同， 造成的损失由成交供应商自行承担。</w:t>
            </w:r>
          </w:p>
          <w:p>
            <w:pPr>
              <w:spacing w:line="480" w:lineRule="exact"/>
              <w:jc w:val="left"/>
              <w:rPr>
                <w:rFonts w:hint="eastAsia"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3、杜绝因供应商原因造成采购人或其他政府职能部门社会不良影响， 如在实际工作中发生上述情况且影响恶劣,采购人有权终止合同并追究供应商责任。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690" w:type="dxa"/>
            <w:vMerge w:val="continue"/>
            <w:vAlign w:val="center"/>
          </w:tcPr>
          <w:p>
            <w:pPr>
              <w:jc w:val="center"/>
              <w:rPr>
                <w:rFonts w:cs="宋体"/>
                <w:sz w:val="22"/>
                <w:szCs w:val="22"/>
              </w:rPr>
            </w:pPr>
          </w:p>
        </w:tc>
        <w:tc>
          <w:tcPr>
            <w:tcW w:w="1281" w:type="dxa"/>
            <w:vAlign w:val="center"/>
          </w:tcPr>
          <w:p>
            <w:pPr>
              <w:jc w:val="center"/>
              <w:textAlignment w:val="center"/>
              <w:rPr>
                <w:rFonts w:hint="eastAsia" w:hAnsi="宋体" w:cs="宋体"/>
                <w:sz w:val="22"/>
                <w:szCs w:val="22"/>
              </w:rPr>
            </w:pPr>
            <w:r>
              <w:rPr>
                <w:rFonts w:hint="eastAsia" w:hAnsi="宋体" w:cs="宋体"/>
                <w:sz w:val="22"/>
                <w:szCs w:val="22"/>
              </w:rPr>
              <w:t>付款</w:t>
            </w:r>
          </w:p>
          <w:p>
            <w:pPr>
              <w:jc w:val="center"/>
              <w:textAlignment w:val="center"/>
              <w:rPr>
                <w:rFonts w:hAnsi="宋体" w:cs="宋体"/>
                <w:sz w:val="22"/>
                <w:szCs w:val="22"/>
              </w:rPr>
            </w:pPr>
            <w:r>
              <w:rPr>
                <w:rFonts w:hint="eastAsia" w:hAnsi="宋体" w:cs="宋体"/>
                <w:sz w:val="22"/>
                <w:szCs w:val="22"/>
              </w:rPr>
              <w:t>方式</w:t>
            </w:r>
          </w:p>
        </w:tc>
        <w:tc>
          <w:tcPr>
            <w:tcW w:w="800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宋体" w:cs="Arial"/>
                <w:color w:val="1E1E1E"/>
                <w:kern w:val="36"/>
                <w:sz w:val="22"/>
                <w:szCs w:val="22"/>
                <w:lang w:val="en-US" w:eastAsia="zh-CN"/>
              </w:rPr>
            </w:pPr>
            <w:r>
              <w:rPr>
                <w:rFonts w:hint="eastAsia" w:ascii="微软雅黑" w:hAnsi="微软雅黑" w:eastAsia="宋体" w:cs="Arial"/>
                <w:color w:val="1E1E1E"/>
                <w:kern w:val="36"/>
                <w:sz w:val="22"/>
                <w:szCs w:val="22"/>
                <w:lang w:val="en-US" w:eastAsia="zh-CN"/>
              </w:rPr>
              <w:t>合同到期一次性支付（结算时供应商须提供合法合规的采购人认可的增值税发票，起税点参照标准1%）。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jc w:val="center"/>
              <w:rPr>
                <w:rFonts w:hint="eastAsia" w:hAnsi="宋体" w:cs="宋体"/>
                <w:sz w:val="22"/>
                <w:szCs w:val="22"/>
              </w:rPr>
            </w:pPr>
            <w:r>
              <w:rPr>
                <w:rFonts w:hint="eastAsia" w:hAnsi="宋体" w:cs="宋体"/>
                <w:sz w:val="22"/>
                <w:szCs w:val="22"/>
              </w:rPr>
              <w:t>供应商需提供</w:t>
            </w:r>
          </w:p>
          <w:p>
            <w:pPr>
              <w:jc w:val="center"/>
              <w:rPr>
                <w:rFonts w:ascii="仿宋_GB2312" w:hAnsi="宋体" w:eastAsia="仿宋_GB2312"/>
                <w:sz w:val="22"/>
                <w:szCs w:val="22"/>
              </w:rPr>
            </w:pPr>
            <w:r>
              <w:rPr>
                <w:rFonts w:hint="eastAsia" w:hAnsi="宋体" w:cs="宋体"/>
                <w:sz w:val="22"/>
                <w:szCs w:val="22"/>
              </w:rPr>
              <w:t>证明材料</w:t>
            </w:r>
          </w:p>
        </w:tc>
        <w:tc>
          <w:tcPr>
            <w:tcW w:w="8007"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bookmarkStart w:id="0" w:name="_GoBack"/>
            <w:r>
              <w:rPr>
                <w:rFonts w:hint="eastAsia" w:asciiTheme="minorEastAsia" w:hAnsiTheme="minorEastAsia" w:eastAsiaTheme="minorEastAsia" w:cstheme="minorEastAsia"/>
                <w:color w:val="1E1E1E"/>
                <w:kern w:val="36"/>
                <w:sz w:val="21"/>
                <w:szCs w:val="21"/>
                <w:lang w:val="en-US" w:eastAsia="zh-CN"/>
              </w:rPr>
              <w:t xml:space="preserve">本项目对供应商的资格审查采用资格后审方式，主要资格审查标准如下：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满足《中华人民共和国政府采购法》第二十二条规定，即：</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（1）具有独立承担民事责任的能力；</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（2）具有良好的商业信誉和健全的财务会计制度；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（3）具有履行合同所必需的设备和专业技术能力；</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（4）有依法缴纳税收和社会保障资金的良好记录；</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（5）法律、行政法规规定的其他条件。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（6）法律、行政法规规定的其他条件。</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2、响应文件递交截止时间当天，“信用中国”网站(www.creditchina.gov.cn)、中国政府采购网(www.ccgp.gov.cn)查询，供应商未被列入信用记录失信被执行人、重大税收违法失信主体、政府采购严重违法失信行为记录名单；（开标结束后由采购人或其委托的采购代理机构按照磋商文件要求对所有供应商的信用信息进行查询，做好记录，由评标委员会按磋商文件的规定进行评审。）</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 xml:space="preserve">3、为本项目提供整体设计、规范编制或者项目管理、监理、检测等服务的供应商，不得再参加该本项目的其他采购活动；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 xml:space="preserve">4、单位负责人为同一人或者存在直接控股、管理关系的不同投标人，不得参加本项目同一合同项下的政府采购活动；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5、本项目的特定资格要求：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（1）供应商应具有工商行政主管部门核发的有效法人营业执照，经营范围包括本次采购内容（上传营业执照原件彩色扫描件并加盖公章）；</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2）供应商应具有质量技术监督部门（市场监督管理部门）发放的检测机构资质证书（CMA）及检测能力范围，并且资质要求满足《生活饮用水卫生标准》GB5749-2022中表一、表二中二氧化氯消毒的31项检测指标；《地表水环境质量标准》GB3838-2002中表一、表二中29项全部检测指标（需加盖公章）；</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val="en-US" w:eastAsia="zh-CN"/>
              </w:rPr>
              <w:t>（3）业绩：①近三年参与过湖北省城市供水水质抽查工作；②近三年参加过供水企业水质检测工作。以上均需提供证明或截图并加盖公章。</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color w:val="1E1E1E"/>
                <w:kern w:val="36"/>
                <w:sz w:val="21"/>
                <w:szCs w:val="21"/>
                <w:lang w:val="en-US" w:eastAsia="zh-CN"/>
              </w:rPr>
            </w:pPr>
            <w:r>
              <w:rPr>
                <w:rFonts w:hint="eastAsia" w:asciiTheme="minorEastAsia" w:hAnsiTheme="minorEastAsia" w:eastAsiaTheme="minorEastAsia" w:cstheme="minorEastAsia"/>
                <w:color w:val="1E1E1E"/>
                <w:kern w:val="36"/>
                <w:sz w:val="21"/>
                <w:szCs w:val="21"/>
                <w:lang w:eastAsia="zh-CN"/>
              </w:rPr>
              <w:t>（</w:t>
            </w:r>
            <w:r>
              <w:rPr>
                <w:rFonts w:hint="eastAsia" w:asciiTheme="minorEastAsia" w:hAnsiTheme="minorEastAsia" w:eastAsiaTheme="minorEastAsia" w:cstheme="minorEastAsia"/>
                <w:color w:val="1E1E1E"/>
                <w:kern w:val="36"/>
                <w:sz w:val="21"/>
                <w:szCs w:val="21"/>
                <w:lang w:val="en-US" w:eastAsia="zh-CN"/>
              </w:rPr>
              <w:t>4</w:t>
            </w:r>
            <w:r>
              <w:rPr>
                <w:rFonts w:hint="eastAsia" w:asciiTheme="minorEastAsia" w:hAnsiTheme="minorEastAsia" w:eastAsiaTheme="minorEastAsia" w:cstheme="minorEastAsia"/>
                <w:color w:val="1E1E1E"/>
                <w:kern w:val="36"/>
                <w:sz w:val="21"/>
                <w:szCs w:val="21"/>
                <w:lang w:eastAsia="zh-CN"/>
              </w:rPr>
              <w:t>）法人或委托代理人身份证复印件加盖公章；授权委托书加盖公章且法人签章；</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Ansi="宋体" w:cs="宋体"/>
                <w:sz w:val="22"/>
                <w:szCs w:val="22"/>
              </w:rPr>
            </w:pPr>
            <w:r>
              <w:rPr>
                <w:rFonts w:hint="eastAsia" w:asciiTheme="minorEastAsia" w:hAnsiTheme="minorEastAsia" w:eastAsiaTheme="minorEastAsia" w:cstheme="minorEastAsia"/>
                <w:color w:val="1E1E1E"/>
                <w:kern w:val="36"/>
                <w:sz w:val="21"/>
                <w:szCs w:val="21"/>
                <w:lang w:val="en-US" w:eastAsia="zh-CN"/>
              </w:rPr>
              <w:t>只有符合以上资格审查所有标准的供应商才能通过资格审查。</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jc w:val="center"/>
              <w:rPr>
                <w:rFonts w:ascii="仿宋_GB2312" w:hAnsi="宋体" w:eastAsia="仿宋_GB2312"/>
                <w:sz w:val="22"/>
                <w:szCs w:val="22"/>
              </w:rPr>
            </w:pPr>
            <w:r>
              <w:rPr>
                <w:rFonts w:hint="eastAsia" w:hAnsi="宋体" w:cs="宋体"/>
                <w:sz w:val="22"/>
                <w:szCs w:val="22"/>
              </w:rPr>
              <w:t>投标保证金</w:t>
            </w:r>
          </w:p>
        </w:tc>
        <w:tc>
          <w:tcPr>
            <w:tcW w:w="8007" w:type="dxa"/>
            <w:gridSpan w:val="4"/>
            <w:vAlign w:val="center"/>
          </w:tcPr>
          <w:p>
            <w:pPr>
              <w:spacing w:line="360" w:lineRule="exact"/>
              <w:jc w:val="left"/>
              <w:textAlignment w:val="center"/>
              <w:rPr>
                <w:rFonts w:hint="eastAsia" w:ascii="仿宋_GB2312" w:hAnsi="宋体" w:eastAsiaTheme="minorEastAsia"/>
                <w:sz w:val="22"/>
                <w:szCs w:val="22"/>
                <w:lang w:val="en-US" w:eastAsia="zh-CN"/>
              </w:rPr>
            </w:pPr>
            <w:r>
              <w:rPr>
                <w:rFonts w:hint="eastAsia" w:hAnsi="宋体" w:cs="宋体"/>
                <w:sz w:val="22"/>
                <w:szCs w:val="22"/>
              </w:rPr>
              <w:t>不设置</w:t>
            </w:r>
            <w:r>
              <w:rPr>
                <w:rFonts w:hint="eastAsia" w:hAnsi="宋体" w:cs="宋体"/>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pStyle w:val="18"/>
              <w:kinsoku/>
              <w:wordWrap/>
              <w:overflowPunct/>
              <w:topLinePunct w:val="0"/>
              <w:bidi w:val="0"/>
              <w:spacing w:before="177" w:line="360" w:lineRule="auto"/>
              <w:ind w:left="107" w:leftChars="0"/>
              <w:jc w:val="center"/>
              <w:rPr>
                <w:rFonts w:hint="eastAsia" w:ascii="宋体" w:hAnsi="宋体" w:eastAsia="宋体" w:cs="宋体"/>
                <w:color w:val="auto"/>
                <w:kern w:val="2"/>
                <w:sz w:val="22"/>
                <w:szCs w:val="22"/>
                <w:highlight w:val="none"/>
                <w:lang w:val="zh-CN" w:eastAsia="zh-CN" w:bidi="ar-SA"/>
              </w:rPr>
            </w:pPr>
            <w:r>
              <w:rPr>
                <w:rFonts w:hint="eastAsia" w:ascii="宋体" w:hAnsi="宋体" w:eastAsia="宋体" w:cs="宋体"/>
                <w:color w:val="auto"/>
                <w:kern w:val="2"/>
                <w:sz w:val="22"/>
                <w:szCs w:val="22"/>
                <w:highlight w:val="none"/>
                <w:lang w:val="en-US" w:eastAsia="zh-CN" w:bidi="ar-SA"/>
              </w:rPr>
              <w:t>代理费</w:t>
            </w:r>
          </w:p>
        </w:tc>
        <w:tc>
          <w:tcPr>
            <w:tcW w:w="8007" w:type="dxa"/>
            <w:gridSpan w:val="4"/>
            <w:vAlign w:val="center"/>
          </w:tcPr>
          <w:p>
            <w:pPr>
              <w:kinsoku/>
              <w:wordWrap/>
              <w:overflowPunct/>
              <w:topLinePunct w:val="0"/>
              <w:bidi w:val="0"/>
              <w:spacing w:line="360" w:lineRule="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 xml:space="preserve">本项目采购代理费：3000.00 元，成交人在领取成交通知书前向采购代理机构支付本次采购项目的采购代理费。  </w:t>
            </w:r>
          </w:p>
          <w:p>
            <w:pPr>
              <w:kinsoku/>
              <w:wordWrap/>
              <w:overflowPunct/>
              <w:topLinePunct w:val="0"/>
              <w:bidi w:val="0"/>
              <w:spacing w:line="360" w:lineRule="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（参与本项目磋商的供应商在编制磋商报价时应充分考虑上述相关费用，采购人不另行支付。）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jc w:val="center"/>
              <w:rPr>
                <w:rFonts w:ascii="仿宋_GB2312" w:hAnsi="宋体" w:eastAsia="仿宋_GB2312"/>
                <w:sz w:val="22"/>
                <w:szCs w:val="22"/>
              </w:rPr>
            </w:pPr>
            <w:r>
              <w:rPr>
                <w:rFonts w:hint="eastAsia" w:hAnsi="宋体" w:cs="宋体"/>
                <w:spacing w:val="-20"/>
                <w:sz w:val="22"/>
                <w:szCs w:val="22"/>
              </w:rPr>
              <w:t>投标文件递交时间、地点及接收人</w:t>
            </w:r>
          </w:p>
        </w:tc>
        <w:tc>
          <w:tcPr>
            <w:tcW w:w="8007" w:type="dxa"/>
            <w:gridSpan w:val="4"/>
            <w:vAlign w:val="center"/>
          </w:tcPr>
          <w:p>
            <w:pPr>
              <w:spacing w:line="360" w:lineRule="exact"/>
              <w:jc w:val="left"/>
              <w:textAlignment w:val="center"/>
              <w:rPr>
                <w:rFonts w:hint="eastAsia" w:hAnsi="宋体" w:cs="宋体"/>
                <w:sz w:val="22"/>
                <w:szCs w:val="22"/>
              </w:rPr>
            </w:pPr>
            <w:r>
              <w:rPr>
                <w:rFonts w:hint="eastAsia" w:hAnsi="宋体" w:cs="宋体"/>
                <w:sz w:val="22"/>
                <w:szCs w:val="22"/>
              </w:rPr>
              <w:t>递交方式：当面递交。</w:t>
            </w:r>
          </w:p>
          <w:p>
            <w:pPr>
              <w:spacing w:line="360" w:lineRule="exact"/>
              <w:jc w:val="left"/>
              <w:textAlignment w:val="center"/>
              <w:rPr>
                <w:rFonts w:hAnsi="宋体" w:cs="宋体"/>
                <w:spacing w:val="-20"/>
                <w:sz w:val="22"/>
                <w:szCs w:val="22"/>
              </w:rPr>
            </w:pPr>
            <w:r>
              <w:rPr>
                <w:rFonts w:hint="eastAsia" w:hAnsi="宋体" w:cs="宋体"/>
                <w:sz w:val="22"/>
                <w:szCs w:val="22"/>
              </w:rPr>
              <w:t>递交地址：枝江市金润源水务有限公司采购管理部（枝江市沿江大道70号）</w:t>
            </w:r>
          </w:p>
          <w:p>
            <w:pPr>
              <w:spacing w:line="360" w:lineRule="exact"/>
              <w:jc w:val="left"/>
              <w:textAlignment w:val="center"/>
              <w:rPr>
                <w:rFonts w:hAnsi="宋体" w:cs="宋体"/>
                <w:spacing w:val="-20"/>
                <w:sz w:val="22"/>
                <w:szCs w:val="22"/>
              </w:rPr>
            </w:pPr>
            <w:r>
              <w:rPr>
                <w:rFonts w:hint="eastAsia" w:hAnsi="宋体" w:cs="宋体"/>
                <w:sz w:val="22"/>
                <w:szCs w:val="22"/>
              </w:rPr>
              <w:t>递交截至时间：</w:t>
            </w:r>
            <w:r>
              <w:rPr>
                <w:rFonts w:hint="eastAsia" w:hAnsi="宋体" w:cs="宋体"/>
                <w:spacing w:val="-20"/>
                <w:sz w:val="22"/>
                <w:szCs w:val="22"/>
                <w:u w:val="single"/>
                <w:lang w:val="en-US" w:eastAsia="zh-CN"/>
              </w:rPr>
              <w:t>2024</w:t>
            </w:r>
            <w:r>
              <w:rPr>
                <w:rFonts w:hint="eastAsia" w:hAnsi="宋体" w:cs="宋体"/>
                <w:spacing w:val="-20"/>
                <w:sz w:val="22"/>
                <w:szCs w:val="22"/>
              </w:rPr>
              <w:t>年</w:t>
            </w:r>
            <w:r>
              <w:rPr>
                <w:rFonts w:hint="eastAsia" w:hAnsi="宋体" w:cs="宋体"/>
                <w:spacing w:val="-20"/>
                <w:sz w:val="22"/>
                <w:szCs w:val="22"/>
                <w:u w:val="single"/>
                <w:lang w:val="en-US" w:eastAsia="zh-CN"/>
              </w:rPr>
              <w:t xml:space="preserve"> 5</w:t>
            </w:r>
            <w:r>
              <w:rPr>
                <w:rFonts w:hint="eastAsia" w:hAnsi="宋体" w:cs="宋体"/>
                <w:spacing w:val="-20"/>
                <w:sz w:val="22"/>
                <w:szCs w:val="22"/>
              </w:rPr>
              <w:t>月</w:t>
            </w:r>
            <w:r>
              <w:rPr>
                <w:rFonts w:hint="eastAsia" w:hAnsi="宋体" w:cs="宋体"/>
                <w:spacing w:val="-20"/>
                <w:sz w:val="22"/>
                <w:szCs w:val="22"/>
                <w:u w:val="single"/>
                <w:lang w:val="en-US" w:eastAsia="zh-CN"/>
              </w:rPr>
              <w:t>23</w:t>
            </w:r>
            <w:r>
              <w:rPr>
                <w:rFonts w:hint="eastAsia" w:hAnsi="宋体" w:cs="宋体"/>
                <w:spacing w:val="-20"/>
                <w:sz w:val="22"/>
                <w:szCs w:val="22"/>
              </w:rPr>
              <w:t>日</w:t>
            </w:r>
            <w:r>
              <w:rPr>
                <w:rFonts w:hint="eastAsia" w:hAnsi="宋体" w:cs="宋体"/>
                <w:spacing w:val="-20"/>
                <w:sz w:val="22"/>
                <w:szCs w:val="22"/>
                <w:u w:val="single"/>
                <w:lang w:val="en-US" w:eastAsia="zh-CN"/>
              </w:rPr>
              <w:t>09</w:t>
            </w:r>
            <w:r>
              <w:rPr>
                <w:rFonts w:hint="eastAsia" w:hAnsi="宋体" w:cs="宋体"/>
                <w:spacing w:val="-20"/>
                <w:sz w:val="22"/>
                <w:szCs w:val="22"/>
                <w:u w:val="none"/>
                <w:lang w:val="en-US" w:eastAsia="zh-CN"/>
              </w:rPr>
              <w:t>时</w:t>
            </w:r>
            <w:r>
              <w:rPr>
                <w:rFonts w:hint="eastAsia" w:hAnsi="宋体" w:cs="宋体"/>
                <w:spacing w:val="-20"/>
                <w:sz w:val="22"/>
                <w:szCs w:val="22"/>
                <w:u w:val="single"/>
                <w:lang w:val="en-US" w:eastAsia="zh-CN"/>
              </w:rPr>
              <w:t xml:space="preserve"> 30</w:t>
            </w:r>
            <w:r>
              <w:rPr>
                <w:rFonts w:hint="eastAsia" w:hAnsi="宋体" w:cs="宋体"/>
                <w:spacing w:val="-20"/>
                <w:sz w:val="22"/>
                <w:szCs w:val="22"/>
                <w:u w:val="none"/>
                <w:lang w:val="en-US" w:eastAsia="zh-CN"/>
              </w:rPr>
              <w:t>分（</w:t>
            </w:r>
            <w:r>
              <w:rPr>
                <w:rFonts w:hint="eastAsia" w:hAnsi="宋体" w:cs="宋体"/>
                <w:spacing w:val="-20"/>
                <w:sz w:val="22"/>
                <w:szCs w:val="22"/>
              </w:rPr>
              <w:t>北京时间</w:t>
            </w:r>
            <w:r>
              <w:rPr>
                <w:rFonts w:hint="eastAsia" w:hAnsi="宋体" w:cs="宋体"/>
                <w:spacing w:val="-20"/>
                <w:sz w:val="22"/>
                <w:szCs w:val="22"/>
                <w:u w:val="none"/>
                <w:lang w:val="en-US" w:eastAsia="zh-CN"/>
              </w:rPr>
              <w:t>）</w:t>
            </w:r>
            <w:r>
              <w:rPr>
                <w:rFonts w:hint="eastAsia" w:hAnsi="宋体" w:cs="宋体"/>
                <w:spacing w:val="-20"/>
                <w:sz w:val="22"/>
                <w:szCs w:val="22"/>
              </w:rPr>
              <w:t>，过时不予受理。</w:t>
            </w:r>
          </w:p>
          <w:p>
            <w:pPr>
              <w:spacing w:line="360" w:lineRule="exact"/>
              <w:jc w:val="left"/>
              <w:textAlignment w:val="center"/>
              <w:rPr>
                <w:rFonts w:hint="eastAsia" w:hAnsi="宋体" w:cs="宋体" w:eastAsiaTheme="minorEastAsia"/>
                <w:sz w:val="22"/>
                <w:szCs w:val="22"/>
                <w:lang w:val="en-US" w:eastAsia="zh-CN"/>
              </w:rPr>
            </w:pPr>
            <w:r>
              <w:rPr>
                <w:rFonts w:hint="eastAsia" w:hAnsi="宋体" w:cs="宋体"/>
                <w:sz w:val="22"/>
                <w:szCs w:val="22"/>
              </w:rPr>
              <w:t>接收人</w:t>
            </w:r>
            <w:r>
              <w:rPr>
                <w:rFonts w:hint="eastAsia" w:hAnsi="宋体" w:cs="宋体"/>
                <w:sz w:val="22"/>
                <w:szCs w:val="22"/>
                <w:lang w:eastAsia="zh-CN"/>
              </w:rPr>
              <w:t>：万宇</w:t>
            </w:r>
          </w:p>
          <w:p>
            <w:pPr>
              <w:spacing w:line="360" w:lineRule="exact"/>
              <w:jc w:val="left"/>
              <w:textAlignment w:val="center"/>
              <w:rPr>
                <w:rFonts w:hint="default" w:hAnsi="宋体" w:cs="宋体" w:eastAsiaTheme="minorEastAsia"/>
                <w:sz w:val="22"/>
                <w:szCs w:val="22"/>
                <w:lang w:val="en-US" w:eastAsia="zh-CN"/>
              </w:rPr>
            </w:pPr>
            <w:r>
              <w:rPr>
                <w:rFonts w:hint="eastAsia" w:hAnsi="宋体" w:cs="宋体"/>
                <w:sz w:val="22"/>
                <w:szCs w:val="22"/>
              </w:rPr>
              <w:t>联系电话</w:t>
            </w:r>
            <w:r>
              <w:rPr>
                <w:rFonts w:hint="eastAsia" w:hAnsi="宋体" w:cs="宋体"/>
                <w:sz w:val="22"/>
                <w:szCs w:val="22"/>
                <w:lang w:eastAsia="zh-CN"/>
              </w:rPr>
              <w:t>：</w:t>
            </w:r>
            <w:r>
              <w:rPr>
                <w:rFonts w:hint="eastAsia" w:hAnsi="宋体" w:cs="宋体"/>
                <w:sz w:val="22"/>
                <w:szCs w:val="22"/>
                <w:lang w:val="en-US" w:eastAsia="zh-CN"/>
              </w:rPr>
              <w:t>13487280377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jc w:val="center"/>
              <w:rPr>
                <w:rFonts w:cs="宋体"/>
                <w:sz w:val="22"/>
                <w:szCs w:val="22"/>
              </w:rPr>
            </w:pPr>
            <w:r>
              <w:rPr>
                <w:rFonts w:hint="eastAsia" w:hAnsi="宋体" w:cs="宋体"/>
                <w:sz w:val="22"/>
                <w:szCs w:val="22"/>
              </w:rPr>
              <w:t>定标原则</w:t>
            </w:r>
          </w:p>
        </w:tc>
        <w:tc>
          <w:tcPr>
            <w:tcW w:w="8007" w:type="dxa"/>
            <w:gridSpan w:val="4"/>
            <w:vAlign w:val="center"/>
          </w:tcPr>
          <w:p>
            <w:pPr>
              <w:jc w:val="center"/>
              <w:textAlignment w:val="center"/>
              <w:rPr>
                <w:rFonts w:ascii="仿宋_GB2312" w:hAnsi="宋体" w:eastAsia="仿宋_GB2312"/>
                <w:sz w:val="22"/>
                <w:szCs w:val="22"/>
              </w:rPr>
            </w:pPr>
            <w:r>
              <w:rPr>
                <w:rFonts w:hint="eastAsia" w:hAnsi="宋体" w:cs="宋体"/>
                <w:sz w:val="22"/>
                <w:szCs w:val="22"/>
              </w:rPr>
              <w:t>根据符合采购要求且报价最低的原则确定中标侯选人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971" w:type="dxa"/>
            <w:gridSpan w:val="2"/>
            <w:vAlign w:val="center"/>
          </w:tcPr>
          <w:p>
            <w:pPr>
              <w:jc w:val="center"/>
              <w:rPr>
                <w:rFonts w:cs="宋体"/>
                <w:sz w:val="22"/>
                <w:szCs w:val="22"/>
              </w:rPr>
            </w:pPr>
            <w:r>
              <w:rPr>
                <w:rFonts w:hint="eastAsia" w:hAnsi="宋体" w:cs="宋体"/>
                <w:sz w:val="22"/>
                <w:szCs w:val="22"/>
              </w:rPr>
              <w:t>供应商投标承诺</w:t>
            </w:r>
          </w:p>
        </w:tc>
        <w:tc>
          <w:tcPr>
            <w:tcW w:w="8007" w:type="dxa"/>
            <w:gridSpan w:val="4"/>
            <w:vAlign w:val="center"/>
          </w:tcPr>
          <w:p>
            <w:pPr>
              <w:jc w:val="center"/>
              <w:textAlignment w:val="center"/>
              <w:rPr>
                <w:rFonts w:ascii="仿宋_GB2312" w:hAnsi="宋体" w:eastAsia="仿宋_GB2312"/>
                <w:sz w:val="22"/>
                <w:szCs w:val="22"/>
              </w:rPr>
            </w:pPr>
            <w:r>
              <w:rPr>
                <w:rFonts w:hint="eastAsia" w:hAnsi="宋体" w:cs="宋体"/>
                <w:sz w:val="22"/>
                <w:szCs w:val="22"/>
              </w:rPr>
              <w:t>对本项目采购内容充分了解，完全响应本采购项目所有目标要求。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71" w:type="dxa"/>
            <w:gridSpan w:val="2"/>
            <w:vAlign w:val="center"/>
          </w:tcPr>
          <w:p>
            <w:pPr>
              <w:rPr>
                <w:rFonts w:cs="宋体"/>
                <w:sz w:val="22"/>
                <w:szCs w:val="22"/>
              </w:rPr>
            </w:pPr>
            <w:r>
              <w:rPr>
                <w:rFonts w:hint="eastAsia" w:hAnsi="宋体" w:cs="宋体"/>
                <w:spacing w:val="-20"/>
                <w:sz w:val="22"/>
                <w:szCs w:val="22"/>
              </w:rPr>
              <w:t>供应商投标总报价</w:t>
            </w:r>
          </w:p>
        </w:tc>
        <w:tc>
          <w:tcPr>
            <w:tcW w:w="4009" w:type="dxa"/>
            <w:vAlign w:val="center"/>
          </w:tcPr>
          <w:p>
            <w:pPr>
              <w:tabs>
                <w:tab w:val="right" w:pos="2464"/>
              </w:tabs>
              <w:jc w:val="center"/>
              <w:rPr>
                <w:rFonts w:hint="eastAsia" w:cs="宋体"/>
                <w:sz w:val="22"/>
                <w:szCs w:val="22"/>
              </w:rPr>
            </w:pPr>
          </w:p>
          <w:p>
            <w:pPr>
              <w:tabs>
                <w:tab w:val="right" w:pos="2464"/>
              </w:tabs>
              <w:jc w:val="center"/>
              <w:rPr>
                <w:rFonts w:hint="eastAsia" w:cs="宋体"/>
                <w:sz w:val="22"/>
                <w:szCs w:val="22"/>
              </w:rPr>
            </w:pPr>
            <w:r>
              <w:rPr>
                <w:rFonts w:hint="eastAsia" w:cs="宋体"/>
                <w:sz w:val="22"/>
                <w:szCs w:val="22"/>
              </w:rPr>
              <w:t xml:space="preserve"> </w:t>
            </w:r>
            <w:r>
              <w:rPr>
                <w:rFonts w:hint="eastAsia" w:cs="宋体"/>
                <w:sz w:val="22"/>
                <w:szCs w:val="22"/>
                <w:u w:val="single"/>
              </w:rPr>
              <w:t xml:space="preserve">            </w:t>
            </w:r>
            <w:r>
              <w:rPr>
                <w:rFonts w:hint="eastAsia" w:cs="宋体"/>
                <w:sz w:val="22"/>
                <w:szCs w:val="22"/>
              </w:rPr>
              <w:t>元</w:t>
            </w:r>
          </w:p>
          <w:p>
            <w:pPr>
              <w:tabs>
                <w:tab w:val="right" w:pos="2464"/>
              </w:tabs>
              <w:jc w:val="center"/>
              <w:rPr>
                <w:rFonts w:hint="eastAsia" w:cs="宋体"/>
                <w:sz w:val="22"/>
                <w:szCs w:val="22"/>
              </w:rPr>
            </w:pPr>
            <w:r>
              <w:rPr>
                <w:rFonts w:hint="eastAsia" w:cs="宋体"/>
                <w:sz w:val="22"/>
                <w:szCs w:val="22"/>
              </w:rPr>
              <w:t>（采购清单附后）</w:t>
            </w:r>
          </w:p>
          <w:p>
            <w:pPr>
              <w:tabs>
                <w:tab w:val="right" w:pos="2464"/>
              </w:tabs>
              <w:jc w:val="center"/>
              <w:rPr>
                <w:rFonts w:hint="eastAsia" w:cs="宋体"/>
                <w:sz w:val="22"/>
                <w:szCs w:val="22"/>
              </w:rPr>
            </w:pPr>
          </w:p>
          <w:p>
            <w:pPr>
              <w:tabs>
                <w:tab w:val="right" w:pos="2464"/>
              </w:tabs>
              <w:jc w:val="both"/>
              <w:rPr>
                <w:rFonts w:cs="宋体"/>
                <w:sz w:val="22"/>
                <w:szCs w:val="22"/>
              </w:rPr>
            </w:pPr>
            <w:r>
              <w:rPr>
                <w:rFonts w:hint="eastAsia" w:cs="宋体"/>
                <w:sz w:val="22"/>
                <w:szCs w:val="22"/>
              </w:rPr>
              <w:t>大写：</w:t>
            </w:r>
            <w:r>
              <w:rPr>
                <w:rFonts w:hint="eastAsia" w:cs="宋体"/>
                <w:sz w:val="22"/>
                <w:szCs w:val="22"/>
                <w:u w:val="none"/>
              </w:rPr>
              <w:t xml:space="preserve">                      </w:t>
            </w:r>
            <w:r>
              <w:rPr>
                <w:rFonts w:hint="eastAsia" w:cs="宋体"/>
                <w:sz w:val="22"/>
                <w:szCs w:val="22"/>
              </w:rPr>
              <w:t xml:space="preserve">  </w:t>
            </w:r>
          </w:p>
        </w:tc>
        <w:tc>
          <w:tcPr>
            <w:tcW w:w="3998" w:type="dxa"/>
            <w:gridSpan w:val="3"/>
            <w:vAlign w:val="center"/>
          </w:tcPr>
          <w:p>
            <w:pPr>
              <w:spacing w:line="300" w:lineRule="exact"/>
              <w:rPr>
                <w:rFonts w:cs="宋体"/>
                <w:spacing w:val="-20"/>
                <w:sz w:val="22"/>
                <w:szCs w:val="22"/>
              </w:rPr>
            </w:pPr>
            <w:r>
              <w:rPr>
                <w:rFonts w:hint="eastAsia" w:hAnsi="宋体" w:cs="宋体"/>
                <w:spacing w:val="-20"/>
                <w:sz w:val="22"/>
                <w:szCs w:val="22"/>
              </w:rPr>
              <w:t>供应商（企业）盖章：</w:t>
            </w:r>
          </w:p>
          <w:p>
            <w:pPr>
              <w:jc w:val="left"/>
              <w:rPr>
                <w:rFonts w:hint="eastAsia" w:hAnsi="宋体" w:cs="宋体"/>
                <w:sz w:val="22"/>
                <w:szCs w:val="22"/>
              </w:rPr>
            </w:pPr>
          </w:p>
          <w:p>
            <w:pPr>
              <w:jc w:val="left"/>
              <w:rPr>
                <w:rFonts w:hint="eastAsia" w:hAnsi="宋体" w:cs="宋体"/>
                <w:sz w:val="22"/>
                <w:szCs w:val="22"/>
              </w:rPr>
            </w:pPr>
            <w:r>
              <w:rPr>
                <w:rFonts w:hint="eastAsia" w:hAnsi="宋体" w:cs="宋体"/>
                <w:sz w:val="22"/>
                <w:szCs w:val="22"/>
              </w:rPr>
              <w:t>企业法人或委托代理人签字：</w:t>
            </w:r>
          </w:p>
          <w:p>
            <w:pPr>
              <w:spacing w:line="300" w:lineRule="exact"/>
              <w:ind w:firstLine="990" w:firstLineChars="550"/>
              <w:rPr>
                <w:rFonts w:hint="eastAsia" w:hAnsi="宋体" w:cs="宋体"/>
                <w:spacing w:val="-20"/>
                <w:sz w:val="22"/>
                <w:szCs w:val="22"/>
              </w:rPr>
            </w:pPr>
          </w:p>
          <w:p>
            <w:pPr>
              <w:spacing w:line="300" w:lineRule="exact"/>
              <w:ind w:firstLine="1440" w:firstLineChars="800"/>
              <w:rPr>
                <w:rFonts w:hint="eastAsia" w:hAnsi="宋体" w:cs="宋体"/>
                <w:spacing w:val="-20"/>
                <w:sz w:val="22"/>
                <w:szCs w:val="22"/>
              </w:rPr>
            </w:pPr>
          </w:p>
          <w:p>
            <w:pPr>
              <w:spacing w:line="300" w:lineRule="exact"/>
              <w:ind w:firstLine="1440" w:firstLineChars="800"/>
              <w:rPr>
                <w:rFonts w:cs="宋体"/>
                <w:spacing w:val="-20"/>
                <w:sz w:val="22"/>
                <w:szCs w:val="22"/>
              </w:rPr>
            </w:pPr>
            <w:r>
              <w:rPr>
                <w:rFonts w:hint="eastAsia" w:hAnsi="宋体" w:cs="宋体"/>
                <w:spacing w:val="-20"/>
                <w:sz w:val="22"/>
                <w:szCs w:val="22"/>
              </w:rPr>
              <w:t>年       月        日</w:t>
            </w:r>
          </w:p>
        </w:tc>
      </w:tr>
    </w:tbl>
    <w:p>
      <w:pPr>
        <w:sectPr>
          <w:pgSz w:w="11906" w:h="16838"/>
          <w:pgMar w:top="1440" w:right="1080" w:bottom="1440" w:left="1080" w:header="851" w:footer="992" w:gutter="0"/>
          <w:cols w:space="425" w:num="1"/>
          <w:docGrid w:type="lines" w:linePitch="312" w:charSpace="0"/>
        </w:sectPr>
      </w:pPr>
    </w:p>
    <w:tbl>
      <w:tblPr>
        <w:tblStyle w:val="11"/>
        <w:tblW w:w="94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7"/>
        <w:gridCol w:w="2720"/>
        <w:gridCol w:w="1291"/>
        <w:gridCol w:w="949"/>
        <w:gridCol w:w="1217"/>
        <w:gridCol w:w="1781"/>
        <w:gridCol w:w="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3" w:hRule="atLeast"/>
        </w:trPr>
        <w:tc>
          <w:tcPr>
            <w:tcW w:w="9460" w:type="dxa"/>
            <w:gridSpan w:val="7"/>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ascii="仿宋" w:hAnsi="仿宋" w:eastAsia="仿宋" w:cs="仿宋"/>
                <w:b/>
                <w:bCs/>
                <w:i w:val="0"/>
                <w:iCs w:val="0"/>
                <w:color w:val="000000"/>
                <w:sz w:val="36"/>
                <w:szCs w:val="36"/>
                <w:u w:val="none"/>
              </w:rPr>
            </w:pPr>
            <w:r>
              <w:rPr>
                <w:rFonts w:hint="eastAsia" w:ascii="仿宋" w:hAnsi="仿宋" w:eastAsia="仿宋" w:cs="仿宋"/>
                <w:b/>
                <w:bCs/>
                <w:i w:val="0"/>
                <w:iCs w:val="0"/>
                <w:color w:val="000000"/>
                <w:kern w:val="0"/>
                <w:sz w:val="32"/>
                <w:szCs w:val="32"/>
                <w:u w:val="none"/>
                <w:lang w:val="en-US" w:eastAsia="zh-CN" w:bidi="ar"/>
              </w:rPr>
              <w:t>水务公司2024年第三方水质检测服务单位采购项目询比报价清单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1140" w:hRule="atLeast"/>
        </w:trPr>
        <w:tc>
          <w:tcPr>
            <w:tcW w:w="1397"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eastAsia"/>
              </w:rPr>
            </w:pPr>
            <w:r>
              <w:rPr>
                <w:rFonts w:hint="eastAsia"/>
                <w:lang w:val="en-US" w:eastAsia="zh-CN"/>
              </w:rPr>
              <w:t>项目类别</w:t>
            </w:r>
          </w:p>
        </w:tc>
        <w:tc>
          <w:tcPr>
            <w:tcW w:w="272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eastAsia"/>
              </w:rPr>
            </w:pPr>
            <w:r>
              <w:rPr>
                <w:rFonts w:hint="eastAsia"/>
                <w:lang w:val="en-US" w:eastAsia="zh-CN"/>
              </w:rPr>
              <w:t>检测参数</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rPr>
            </w:pPr>
            <w:r>
              <w:rPr>
                <w:rFonts w:hint="eastAsia"/>
                <w:lang w:val="en-US" w:eastAsia="zh-CN"/>
              </w:rPr>
              <w:t>检测费（单价）</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r>
              <w:rPr>
                <w:rFonts w:hint="eastAsia"/>
                <w:lang w:val="en-US" w:eastAsia="zh-CN"/>
              </w:rPr>
              <w:t>样品点位</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r>
              <w:rPr>
                <w:rFonts w:hint="eastAsia"/>
                <w:lang w:val="en-US" w:eastAsia="zh-CN"/>
              </w:rPr>
              <w:t xml:space="preserve">检测数量 </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r>
              <w:rPr>
                <w:rFonts w:hint="eastAsia"/>
                <w:lang w:val="en-US" w:eastAsia="zh-CN"/>
              </w:rPr>
              <w:t xml:space="preserve"> 金额(RMB)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1140" w:hRule="atLeast"/>
        </w:trPr>
        <w:tc>
          <w:tcPr>
            <w:tcW w:w="1397" w:type="dxa"/>
            <w:tcBorders>
              <w:top w:val="single" w:color="auto" w:sz="4" w:space="0"/>
              <w:left w:val="single" w:color="auto" w:sz="4" w:space="0"/>
              <w:bottom w:val="single" w:color="auto" w:sz="4" w:space="0"/>
              <w:right w:val="single" w:color="000000" w:sz="4" w:space="0"/>
            </w:tcBorders>
            <w:shd w:val="clear" w:color="auto" w:fill="auto"/>
            <w:noWrap/>
            <w:vAlign w:val="center"/>
          </w:tcPr>
          <w:p>
            <w:pPr>
              <w:rPr>
                <w:rFonts w:hint="eastAsia"/>
              </w:rPr>
            </w:pPr>
            <w:r>
              <w:rPr>
                <w:rFonts w:hint="eastAsia"/>
                <w:lang w:val="en-US" w:eastAsia="zh-CN"/>
              </w:rPr>
              <w:t>出厂水</w:t>
            </w:r>
          </w:p>
        </w:tc>
        <w:tc>
          <w:tcPr>
            <w:tcW w:w="2720" w:type="dxa"/>
            <w:tcBorders>
              <w:top w:val="single" w:color="auto" w:sz="4" w:space="0"/>
              <w:left w:val="single" w:color="000000" w:sz="4" w:space="0"/>
              <w:bottom w:val="single" w:color="auto" w:sz="4" w:space="0"/>
              <w:right w:val="single" w:color="auto" w:sz="4" w:space="0"/>
            </w:tcBorders>
            <w:shd w:val="clear" w:color="auto" w:fill="auto"/>
            <w:noWrap w:val="0"/>
            <w:vAlign w:val="center"/>
          </w:tcPr>
          <w:p>
            <w:pPr>
              <w:rPr>
                <w:rFonts w:hint="eastAsia"/>
              </w:rPr>
            </w:pPr>
            <w:r>
              <w:rPr>
                <w:rFonts w:hint="eastAsia"/>
                <w:lang w:val="en-US" w:eastAsia="zh-CN"/>
              </w:rPr>
              <w:t>《生活饮用水卫生标准》（GB5749-2022）表1和表2中31项</w:t>
            </w:r>
          </w:p>
        </w:tc>
        <w:tc>
          <w:tcPr>
            <w:tcW w:w="1291"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rPr>
                <w:rFonts w:hint="eastAsia"/>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3</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36</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1140" w:hRule="atLeast"/>
        </w:trPr>
        <w:tc>
          <w:tcPr>
            <w:tcW w:w="1397" w:type="dxa"/>
            <w:tcBorders>
              <w:top w:val="single" w:color="auto" w:sz="4" w:space="0"/>
              <w:left w:val="single" w:color="000000" w:sz="4" w:space="0"/>
              <w:bottom w:val="nil"/>
              <w:right w:val="single" w:color="000000" w:sz="4" w:space="0"/>
            </w:tcBorders>
            <w:shd w:val="clear" w:color="auto" w:fill="auto"/>
            <w:noWrap/>
            <w:vAlign w:val="center"/>
          </w:tcPr>
          <w:p>
            <w:pPr>
              <w:rPr>
                <w:rFonts w:hint="eastAsia"/>
              </w:rPr>
            </w:pPr>
            <w:r>
              <w:rPr>
                <w:rFonts w:hint="eastAsia"/>
                <w:lang w:val="en-US" w:eastAsia="zh-CN"/>
              </w:rPr>
              <w:t>管网水末梢水</w:t>
            </w:r>
          </w:p>
        </w:tc>
        <w:tc>
          <w:tcPr>
            <w:tcW w:w="2720"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pPr>
              <w:rPr>
                <w:rFonts w:hint="eastAsia"/>
              </w:rPr>
            </w:pPr>
            <w:r>
              <w:rPr>
                <w:rFonts w:hint="eastAsia"/>
                <w:lang w:val="en-US" w:eastAsia="zh-CN"/>
              </w:rPr>
              <w:t>《生活饮用水卫生标准》（GB5749-2022）表1和表2中31项</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2</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24</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1140" w:hRule="atLeast"/>
        </w:trPr>
        <w:tc>
          <w:tcPr>
            <w:tcW w:w="1397" w:type="dxa"/>
            <w:tcBorders>
              <w:top w:val="single" w:color="000000" w:sz="4" w:space="0"/>
              <w:left w:val="single" w:color="000000" w:sz="4" w:space="0"/>
              <w:bottom w:val="nil"/>
              <w:right w:val="single" w:color="000000" w:sz="4" w:space="0"/>
            </w:tcBorders>
            <w:shd w:val="clear" w:color="auto" w:fill="auto"/>
            <w:noWrap/>
            <w:vAlign w:val="center"/>
          </w:tcPr>
          <w:p>
            <w:pPr>
              <w:rPr>
                <w:rFonts w:hint="eastAsia"/>
              </w:rPr>
            </w:pPr>
            <w:r>
              <w:rPr>
                <w:rFonts w:hint="eastAsia"/>
                <w:lang w:val="en-US" w:eastAsia="zh-CN"/>
              </w:rPr>
              <w:t>水源水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rPr>
            </w:pPr>
            <w:r>
              <w:rPr>
                <w:rFonts w:hint="eastAsia"/>
                <w:lang w:val="en-US" w:eastAsia="zh-CN"/>
              </w:rPr>
              <w:t>《地表水环境质量标准》GB 3838-2002表1和表2中29项</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2</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24</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1140" w:hRule="atLeast"/>
        </w:trPr>
        <w:tc>
          <w:tcPr>
            <w:tcW w:w="1397" w:type="dxa"/>
            <w:tcBorders>
              <w:top w:val="single" w:color="000000" w:sz="4" w:space="0"/>
              <w:left w:val="single" w:color="000000" w:sz="4" w:space="0"/>
              <w:bottom w:val="nil"/>
              <w:right w:val="single" w:color="000000" w:sz="4" w:space="0"/>
            </w:tcBorders>
            <w:shd w:val="clear" w:color="auto" w:fill="auto"/>
            <w:noWrap/>
            <w:vAlign w:val="center"/>
          </w:tcPr>
          <w:p>
            <w:pPr>
              <w:rPr>
                <w:rFonts w:hint="eastAsia"/>
              </w:rPr>
            </w:pPr>
            <w:r>
              <w:rPr>
                <w:rFonts w:hint="eastAsia"/>
                <w:lang w:val="en-US" w:eastAsia="zh-CN"/>
              </w:rPr>
              <w:t>二次供水末梢水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rPr>
            </w:pPr>
            <w:r>
              <w:rPr>
                <w:rFonts w:hint="eastAsia"/>
                <w:lang w:val="en-US" w:eastAsia="zh-CN"/>
              </w:rPr>
              <w:t>《生活饮用水卫生标准》（GB5749-2022）表1和表2中19项</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2</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4</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05" w:type="dxa"/>
          <w:trHeight w:val="1140" w:hRule="atLeast"/>
        </w:trPr>
        <w:tc>
          <w:tcPr>
            <w:tcW w:w="1397" w:type="dxa"/>
            <w:tcBorders>
              <w:top w:val="single" w:color="000000" w:sz="4" w:space="0"/>
              <w:left w:val="single" w:color="000000" w:sz="4" w:space="0"/>
              <w:bottom w:val="nil"/>
              <w:right w:val="single" w:color="000000" w:sz="4" w:space="0"/>
            </w:tcBorders>
            <w:shd w:val="clear" w:color="auto" w:fill="auto"/>
            <w:noWrap/>
            <w:vAlign w:val="center"/>
          </w:tcPr>
          <w:p>
            <w:pPr>
              <w:rPr>
                <w:rFonts w:hint="eastAsia"/>
              </w:rPr>
            </w:pPr>
            <w:r>
              <w:rPr>
                <w:rFonts w:hint="eastAsia"/>
                <w:lang w:val="en-US" w:eastAsia="zh-CN"/>
              </w:rPr>
              <w:t>出厂水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rPr>
            </w:pPr>
            <w:r>
              <w:rPr>
                <w:rFonts w:hint="eastAsia"/>
                <w:lang w:val="en-US" w:eastAsia="zh-CN"/>
              </w:rPr>
              <w:t>《生活饮用水卫生标准》（GB5749-2022）表3中54项</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3</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rPr>
            </w:pPr>
            <w:r>
              <w:rPr>
                <w:rFonts w:hint="eastAsia"/>
                <w:lang w:val="en-US" w:eastAsia="zh-CN"/>
              </w:rPr>
              <w:t>6</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418" w:hRule="atLeast"/>
        </w:trPr>
        <w:tc>
          <w:tcPr>
            <w:tcW w:w="41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rPr>
            </w:pPr>
            <w:r>
              <w:rPr>
                <w:rFonts w:hint="eastAsia"/>
                <w:lang w:val="en-US" w:eastAsia="zh-CN"/>
              </w:rPr>
              <w:t>检测费合计（含税）</w:t>
            </w:r>
          </w:p>
        </w:tc>
        <w:tc>
          <w:tcPr>
            <w:tcW w:w="52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lang w:val="en-US"/>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Noto Sans Mono CJK JP Regular">
    <w:altName w:val="Arial"/>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5NmNlOTkwZGYwZTdhOTIxOTRiNGIxZDA3ZDQxOGYifQ=="/>
  </w:docVars>
  <w:rsids>
    <w:rsidRoot w:val="2E0C7491"/>
    <w:rsid w:val="00030138"/>
    <w:rsid w:val="000844B4"/>
    <w:rsid w:val="000C7090"/>
    <w:rsid w:val="00185BD2"/>
    <w:rsid w:val="004038C0"/>
    <w:rsid w:val="004D7053"/>
    <w:rsid w:val="0064499E"/>
    <w:rsid w:val="007244ED"/>
    <w:rsid w:val="00885987"/>
    <w:rsid w:val="008E7903"/>
    <w:rsid w:val="009E292F"/>
    <w:rsid w:val="00A072BF"/>
    <w:rsid w:val="00B1159D"/>
    <w:rsid w:val="00BD4B99"/>
    <w:rsid w:val="00C96B34"/>
    <w:rsid w:val="00D63F6E"/>
    <w:rsid w:val="00DA04DB"/>
    <w:rsid w:val="00E44819"/>
    <w:rsid w:val="00E808BB"/>
    <w:rsid w:val="00EA233A"/>
    <w:rsid w:val="00EE5544"/>
    <w:rsid w:val="00F23FA4"/>
    <w:rsid w:val="00F836A1"/>
    <w:rsid w:val="01D86637"/>
    <w:rsid w:val="01EF4042"/>
    <w:rsid w:val="0208352E"/>
    <w:rsid w:val="023B2336"/>
    <w:rsid w:val="023E5F09"/>
    <w:rsid w:val="02F231DD"/>
    <w:rsid w:val="030626FF"/>
    <w:rsid w:val="04341AEC"/>
    <w:rsid w:val="0635157B"/>
    <w:rsid w:val="074C7A32"/>
    <w:rsid w:val="080B3BC5"/>
    <w:rsid w:val="08E93D9B"/>
    <w:rsid w:val="094E0D03"/>
    <w:rsid w:val="09FB7366"/>
    <w:rsid w:val="0A932A8E"/>
    <w:rsid w:val="0B5F552F"/>
    <w:rsid w:val="0C8A611A"/>
    <w:rsid w:val="0CE15631"/>
    <w:rsid w:val="0D656982"/>
    <w:rsid w:val="0E064864"/>
    <w:rsid w:val="0FC54981"/>
    <w:rsid w:val="0FCA2977"/>
    <w:rsid w:val="0FF0789B"/>
    <w:rsid w:val="100578A0"/>
    <w:rsid w:val="100808E1"/>
    <w:rsid w:val="116E48C1"/>
    <w:rsid w:val="119B0C05"/>
    <w:rsid w:val="11D1163D"/>
    <w:rsid w:val="1201232B"/>
    <w:rsid w:val="12AD1419"/>
    <w:rsid w:val="12EB0E74"/>
    <w:rsid w:val="13450C70"/>
    <w:rsid w:val="139611C4"/>
    <w:rsid w:val="13AE3086"/>
    <w:rsid w:val="15096BAB"/>
    <w:rsid w:val="15402DDD"/>
    <w:rsid w:val="15602773"/>
    <w:rsid w:val="15E26448"/>
    <w:rsid w:val="17841AF5"/>
    <w:rsid w:val="17CE6E13"/>
    <w:rsid w:val="18764614"/>
    <w:rsid w:val="18F56A1B"/>
    <w:rsid w:val="19C55FA1"/>
    <w:rsid w:val="19D13763"/>
    <w:rsid w:val="1A076B95"/>
    <w:rsid w:val="1A976C37"/>
    <w:rsid w:val="1AD62E10"/>
    <w:rsid w:val="1B121BA8"/>
    <w:rsid w:val="1BF24FF0"/>
    <w:rsid w:val="1C26509C"/>
    <w:rsid w:val="1CCA51F1"/>
    <w:rsid w:val="1CE23EA3"/>
    <w:rsid w:val="1D1C13C9"/>
    <w:rsid w:val="1F8359DC"/>
    <w:rsid w:val="20D075FC"/>
    <w:rsid w:val="217F0425"/>
    <w:rsid w:val="21FC7BE7"/>
    <w:rsid w:val="22E770B7"/>
    <w:rsid w:val="244A4D1A"/>
    <w:rsid w:val="24AB1B33"/>
    <w:rsid w:val="25A86501"/>
    <w:rsid w:val="25EE26C9"/>
    <w:rsid w:val="26720558"/>
    <w:rsid w:val="26AD44E9"/>
    <w:rsid w:val="26D73717"/>
    <w:rsid w:val="271D2E9B"/>
    <w:rsid w:val="283474BA"/>
    <w:rsid w:val="28751854"/>
    <w:rsid w:val="288A2120"/>
    <w:rsid w:val="29770AB4"/>
    <w:rsid w:val="2A0841E2"/>
    <w:rsid w:val="2A862E22"/>
    <w:rsid w:val="2AB37F1E"/>
    <w:rsid w:val="2C5F332D"/>
    <w:rsid w:val="2D497251"/>
    <w:rsid w:val="2D99131E"/>
    <w:rsid w:val="2DAB4962"/>
    <w:rsid w:val="2E0C7491"/>
    <w:rsid w:val="2E3807D7"/>
    <w:rsid w:val="2E44751D"/>
    <w:rsid w:val="2EFF2BA5"/>
    <w:rsid w:val="2F4309AA"/>
    <w:rsid w:val="2F5931A9"/>
    <w:rsid w:val="2F5C7FF7"/>
    <w:rsid w:val="2F8E292B"/>
    <w:rsid w:val="2FC23965"/>
    <w:rsid w:val="2FF93D3B"/>
    <w:rsid w:val="305F2992"/>
    <w:rsid w:val="31261CF2"/>
    <w:rsid w:val="334E05DC"/>
    <w:rsid w:val="348B6A8D"/>
    <w:rsid w:val="34952285"/>
    <w:rsid w:val="34AA5A08"/>
    <w:rsid w:val="34D6242B"/>
    <w:rsid w:val="34EC7636"/>
    <w:rsid w:val="350B70E0"/>
    <w:rsid w:val="351512F1"/>
    <w:rsid w:val="354F3ED2"/>
    <w:rsid w:val="35BF0184"/>
    <w:rsid w:val="36AD706B"/>
    <w:rsid w:val="36B91743"/>
    <w:rsid w:val="37016620"/>
    <w:rsid w:val="377A51F7"/>
    <w:rsid w:val="37C363CF"/>
    <w:rsid w:val="3845630A"/>
    <w:rsid w:val="38835DA2"/>
    <w:rsid w:val="38866F27"/>
    <w:rsid w:val="388901B1"/>
    <w:rsid w:val="38D625D9"/>
    <w:rsid w:val="392805D2"/>
    <w:rsid w:val="39397255"/>
    <w:rsid w:val="39470A21"/>
    <w:rsid w:val="395B141D"/>
    <w:rsid w:val="396633F1"/>
    <w:rsid w:val="3A6B4EA3"/>
    <w:rsid w:val="3AE26BDE"/>
    <w:rsid w:val="3B8E43E4"/>
    <w:rsid w:val="3BA83D2C"/>
    <w:rsid w:val="3C402D95"/>
    <w:rsid w:val="3C8B3CCA"/>
    <w:rsid w:val="3D827E28"/>
    <w:rsid w:val="3DC86D51"/>
    <w:rsid w:val="3E446F18"/>
    <w:rsid w:val="3E5C26F9"/>
    <w:rsid w:val="3EA32791"/>
    <w:rsid w:val="3EC31764"/>
    <w:rsid w:val="3F6252B2"/>
    <w:rsid w:val="3F87352A"/>
    <w:rsid w:val="3F8A18A4"/>
    <w:rsid w:val="3FC34336"/>
    <w:rsid w:val="406776C1"/>
    <w:rsid w:val="40DF50AA"/>
    <w:rsid w:val="413C66B2"/>
    <w:rsid w:val="41A80181"/>
    <w:rsid w:val="423F01E8"/>
    <w:rsid w:val="428D7034"/>
    <w:rsid w:val="4337256E"/>
    <w:rsid w:val="43B71D4D"/>
    <w:rsid w:val="44674518"/>
    <w:rsid w:val="451A6000"/>
    <w:rsid w:val="454E30A5"/>
    <w:rsid w:val="4552461A"/>
    <w:rsid w:val="45FB4DA5"/>
    <w:rsid w:val="46126162"/>
    <w:rsid w:val="47133239"/>
    <w:rsid w:val="47535C6A"/>
    <w:rsid w:val="476B7039"/>
    <w:rsid w:val="47F1012F"/>
    <w:rsid w:val="482B68AE"/>
    <w:rsid w:val="48825C68"/>
    <w:rsid w:val="48EE2DA4"/>
    <w:rsid w:val="496179F3"/>
    <w:rsid w:val="49721F92"/>
    <w:rsid w:val="49AE46B7"/>
    <w:rsid w:val="4A6B06E6"/>
    <w:rsid w:val="4BC63ACB"/>
    <w:rsid w:val="4BE100F5"/>
    <w:rsid w:val="4C2B0D16"/>
    <w:rsid w:val="4C323EA3"/>
    <w:rsid w:val="4D4E08C5"/>
    <w:rsid w:val="4E0E5694"/>
    <w:rsid w:val="4E1127DB"/>
    <w:rsid w:val="4E8D5F4B"/>
    <w:rsid w:val="4ECA0682"/>
    <w:rsid w:val="4EE73D00"/>
    <w:rsid w:val="4F4E3061"/>
    <w:rsid w:val="4F5305C3"/>
    <w:rsid w:val="4FB4691E"/>
    <w:rsid w:val="4FDD7100"/>
    <w:rsid w:val="507A0210"/>
    <w:rsid w:val="508F2ED1"/>
    <w:rsid w:val="5212577A"/>
    <w:rsid w:val="52BB0B89"/>
    <w:rsid w:val="54877E68"/>
    <w:rsid w:val="54F9061D"/>
    <w:rsid w:val="55165E3C"/>
    <w:rsid w:val="557E4E62"/>
    <w:rsid w:val="56420717"/>
    <w:rsid w:val="5691518D"/>
    <w:rsid w:val="57451614"/>
    <w:rsid w:val="57680BC4"/>
    <w:rsid w:val="57BB699A"/>
    <w:rsid w:val="58A843FE"/>
    <w:rsid w:val="58B16D7F"/>
    <w:rsid w:val="58C44394"/>
    <w:rsid w:val="590D1F80"/>
    <w:rsid w:val="590F3861"/>
    <w:rsid w:val="59BD03D5"/>
    <w:rsid w:val="5A220D20"/>
    <w:rsid w:val="5B2A2EDC"/>
    <w:rsid w:val="5BF0162F"/>
    <w:rsid w:val="5C22382D"/>
    <w:rsid w:val="5C815FF5"/>
    <w:rsid w:val="5CC3602A"/>
    <w:rsid w:val="5DA5715C"/>
    <w:rsid w:val="5DB6390D"/>
    <w:rsid w:val="5E9A5A54"/>
    <w:rsid w:val="60507DF2"/>
    <w:rsid w:val="607777C6"/>
    <w:rsid w:val="609972D4"/>
    <w:rsid w:val="60DB411C"/>
    <w:rsid w:val="612F2A45"/>
    <w:rsid w:val="6147424B"/>
    <w:rsid w:val="617F17B3"/>
    <w:rsid w:val="61A945D0"/>
    <w:rsid w:val="61F018F2"/>
    <w:rsid w:val="62122C00"/>
    <w:rsid w:val="627C35FA"/>
    <w:rsid w:val="629D19EE"/>
    <w:rsid w:val="631C7767"/>
    <w:rsid w:val="63DC4C88"/>
    <w:rsid w:val="64780B89"/>
    <w:rsid w:val="654D75EA"/>
    <w:rsid w:val="65D77380"/>
    <w:rsid w:val="669348E1"/>
    <w:rsid w:val="67620950"/>
    <w:rsid w:val="67EA0552"/>
    <w:rsid w:val="692D7FD6"/>
    <w:rsid w:val="6959178D"/>
    <w:rsid w:val="69787B5F"/>
    <w:rsid w:val="69BB1651"/>
    <w:rsid w:val="69C11AD7"/>
    <w:rsid w:val="6A93749F"/>
    <w:rsid w:val="6AD16319"/>
    <w:rsid w:val="6C8934D3"/>
    <w:rsid w:val="6C905509"/>
    <w:rsid w:val="6CD8475B"/>
    <w:rsid w:val="6DEC3F21"/>
    <w:rsid w:val="6DFB21AE"/>
    <w:rsid w:val="6E5F2CDD"/>
    <w:rsid w:val="6F785DE6"/>
    <w:rsid w:val="6F8C2CC9"/>
    <w:rsid w:val="6FAF6E1A"/>
    <w:rsid w:val="6FE3424F"/>
    <w:rsid w:val="6FEA33B8"/>
    <w:rsid w:val="7022100E"/>
    <w:rsid w:val="702B255D"/>
    <w:rsid w:val="70692DFD"/>
    <w:rsid w:val="70E809D5"/>
    <w:rsid w:val="71D8356D"/>
    <w:rsid w:val="72231757"/>
    <w:rsid w:val="73C4000B"/>
    <w:rsid w:val="75070854"/>
    <w:rsid w:val="75327494"/>
    <w:rsid w:val="76382E28"/>
    <w:rsid w:val="76566D79"/>
    <w:rsid w:val="76C5476F"/>
    <w:rsid w:val="7780135A"/>
    <w:rsid w:val="78120A0F"/>
    <w:rsid w:val="78425CBB"/>
    <w:rsid w:val="787A1160"/>
    <w:rsid w:val="789F4016"/>
    <w:rsid w:val="79453B67"/>
    <w:rsid w:val="79C41ED1"/>
    <w:rsid w:val="79ED0CD0"/>
    <w:rsid w:val="7A1D7BD2"/>
    <w:rsid w:val="7A953130"/>
    <w:rsid w:val="7B6A706A"/>
    <w:rsid w:val="7BEC35FD"/>
    <w:rsid w:val="7C3F34DF"/>
    <w:rsid w:val="7CD41350"/>
    <w:rsid w:val="7D0652BB"/>
    <w:rsid w:val="7D9A7806"/>
    <w:rsid w:val="7DE26AEB"/>
    <w:rsid w:val="7DF3065A"/>
    <w:rsid w:val="7E146107"/>
    <w:rsid w:val="7E8D2904"/>
    <w:rsid w:val="7ED650BD"/>
    <w:rsid w:val="7F2668BB"/>
    <w:rsid w:val="7FA55B64"/>
    <w:rsid w:val="7FBC0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宋体" w:hAnsiTheme="minorHAnsi" w:eastAsiaTheme="minorEastAsia" w:cstheme="minorBidi"/>
      <w:kern w:val="2"/>
      <w:sz w:val="21"/>
      <w:szCs w:val="24"/>
      <w:lang w:val="en-US" w:eastAsia="zh-CN" w:bidi="ar-SA"/>
    </w:rPr>
  </w:style>
  <w:style w:type="paragraph" w:styleId="4">
    <w:name w:val="heading 2"/>
    <w:basedOn w:val="1"/>
    <w:next w:val="1"/>
    <w:autoRedefine/>
    <w:unhideWhenUsed/>
    <w:qFormat/>
    <w:uiPriority w:val="0"/>
    <w:pPr>
      <w:keepNext/>
      <w:keepLines/>
      <w:spacing w:before="260" w:after="260" w:line="415" w:lineRule="auto"/>
      <w:outlineLvl w:val="1"/>
    </w:pPr>
    <w:rPr>
      <w:rFonts w:ascii="Arial" w:hAnsi="Arial" w:eastAsia="黑体" w:cs="Arial"/>
      <w:b/>
      <w:bCs/>
      <w:sz w:val="32"/>
      <w:szCs w:val="32"/>
    </w:rPr>
  </w:style>
  <w:style w:type="character" w:default="1" w:styleId="12">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2">
    <w:name w:val="Body Text First Indent"/>
    <w:basedOn w:val="3"/>
    <w:next w:val="3"/>
    <w:qFormat/>
    <w:uiPriority w:val="99"/>
    <w:pPr>
      <w:autoSpaceDE/>
      <w:autoSpaceDN/>
      <w:adjustRightInd/>
      <w:spacing w:after="120"/>
      <w:ind w:firstLine="420" w:firstLineChars="100"/>
      <w:jc w:val="both"/>
      <w:textAlignment w:val="auto"/>
    </w:pPr>
    <w:rPr>
      <w:rFonts w:ascii="Times New Roman"/>
      <w:kern w:val="2"/>
      <w:sz w:val="21"/>
      <w:szCs w:val="24"/>
    </w:rPr>
  </w:style>
  <w:style w:type="paragraph" w:styleId="3">
    <w:name w:val="Body Text"/>
    <w:basedOn w:val="1"/>
    <w:next w:val="1"/>
    <w:autoRedefine/>
    <w:qFormat/>
    <w:uiPriority w:val="0"/>
    <w:rPr>
      <w:rFonts w:ascii="新宋体" w:hAnsi="新宋体" w:eastAsia="新宋体" w:cs="新宋体"/>
      <w:sz w:val="24"/>
    </w:rPr>
  </w:style>
  <w:style w:type="paragraph" w:styleId="5">
    <w:name w:val="Normal Indent"/>
    <w:basedOn w:val="1"/>
    <w:autoRedefine/>
    <w:qFormat/>
    <w:uiPriority w:val="0"/>
    <w:pPr>
      <w:ind w:firstLine="420" w:firstLineChars="200"/>
    </w:pPr>
    <w:rPr>
      <w:sz w:val="24"/>
    </w:rPr>
  </w:style>
  <w:style w:type="paragraph" w:styleId="6">
    <w:name w:val="Body Text Indent"/>
    <w:basedOn w:val="1"/>
    <w:autoRedefine/>
    <w:qFormat/>
    <w:uiPriority w:val="0"/>
    <w:pPr>
      <w:spacing w:line="360" w:lineRule="exact"/>
      <w:ind w:right="-2" w:rightChars="-1" w:firstLine="359" w:firstLineChars="171"/>
    </w:pPr>
  </w:style>
  <w:style w:type="paragraph" w:styleId="7">
    <w:name w:val="Balloon Text"/>
    <w:basedOn w:val="1"/>
    <w:link w:val="16"/>
    <w:autoRedefine/>
    <w:qFormat/>
    <w:uiPriority w:val="0"/>
    <w:rPr>
      <w:sz w:val="18"/>
      <w:szCs w:val="18"/>
    </w:rPr>
  </w:style>
  <w:style w:type="paragraph" w:styleId="8">
    <w:name w:val="footer"/>
    <w:basedOn w:val="1"/>
    <w:link w:val="15"/>
    <w:autoRedefine/>
    <w:qFormat/>
    <w:uiPriority w:val="0"/>
    <w:pPr>
      <w:tabs>
        <w:tab w:val="center" w:pos="4153"/>
        <w:tab w:val="right" w:pos="8306"/>
      </w:tabs>
      <w:snapToGrid w:val="0"/>
      <w:jc w:val="left"/>
    </w:pPr>
    <w:rPr>
      <w:sz w:val="18"/>
      <w:szCs w:val="18"/>
    </w:rPr>
  </w:style>
  <w:style w:type="paragraph" w:styleId="9">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customStyle="1" w:styleId="13">
    <w:name w:val="表格文字"/>
    <w:basedOn w:val="5"/>
    <w:autoRedefine/>
    <w:qFormat/>
    <w:uiPriority w:val="0"/>
    <w:pPr>
      <w:spacing w:before="25" w:after="25"/>
      <w:jc w:val="left"/>
    </w:pPr>
    <w:rPr>
      <w:rFonts w:ascii="Times New Roman" w:hAnsi="Times New Roman"/>
      <w:bCs/>
      <w:spacing w:val="10"/>
      <w:kern w:val="0"/>
    </w:rPr>
  </w:style>
  <w:style w:type="character" w:customStyle="1" w:styleId="14">
    <w:name w:val="页眉 Char"/>
    <w:basedOn w:val="12"/>
    <w:link w:val="9"/>
    <w:autoRedefine/>
    <w:qFormat/>
    <w:uiPriority w:val="0"/>
    <w:rPr>
      <w:rFonts w:ascii="宋体" w:hAnsiTheme="minorHAnsi" w:eastAsiaTheme="minorEastAsia" w:cstheme="minorBidi"/>
      <w:kern w:val="2"/>
      <w:sz w:val="18"/>
      <w:szCs w:val="18"/>
    </w:rPr>
  </w:style>
  <w:style w:type="character" w:customStyle="1" w:styleId="15">
    <w:name w:val="页脚 Char"/>
    <w:basedOn w:val="12"/>
    <w:link w:val="8"/>
    <w:autoRedefine/>
    <w:qFormat/>
    <w:uiPriority w:val="0"/>
    <w:rPr>
      <w:rFonts w:ascii="宋体" w:hAnsiTheme="minorHAnsi" w:eastAsiaTheme="minorEastAsia" w:cstheme="minorBidi"/>
      <w:kern w:val="2"/>
      <w:sz w:val="18"/>
      <w:szCs w:val="18"/>
    </w:rPr>
  </w:style>
  <w:style w:type="character" w:customStyle="1" w:styleId="16">
    <w:name w:val="批注框文本 Char"/>
    <w:basedOn w:val="12"/>
    <w:link w:val="7"/>
    <w:autoRedefine/>
    <w:qFormat/>
    <w:uiPriority w:val="0"/>
    <w:rPr>
      <w:rFonts w:ascii="宋体" w:hAnsiTheme="minorHAnsi" w:eastAsiaTheme="minorEastAsia" w:cstheme="minorBidi"/>
      <w:kern w:val="2"/>
      <w:sz w:val="18"/>
      <w:szCs w:val="18"/>
    </w:rPr>
  </w:style>
  <w:style w:type="paragraph" w:customStyle="1" w:styleId="17">
    <w:name w:val="Normal"/>
    <w:qFormat/>
    <w:uiPriority w:val="0"/>
    <w:pPr>
      <w:spacing w:line="384" w:lineRule="auto"/>
    </w:pPr>
    <w:rPr>
      <w:rFonts w:ascii="宋体" w:hAnsi="Times New Roman" w:eastAsia="宋体" w:cs="Times New Roman"/>
      <w:sz w:val="24"/>
      <w:szCs w:val="24"/>
      <w:lang w:val="en-US" w:eastAsia="zh-CN" w:bidi="ar-SA"/>
    </w:rPr>
  </w:style>
  <w:style w:type="paragraph" w:customStyle="1" w:styleId="18">
    <w:name w:val="Table Paragraph"/>
    <w:basedOn w:val="1"/>
    <w:qFormat/>
    <w:uiPriority w:val="99"/>
    <w:pPr>
      <w:autoSpaceDE w:val="0"/>
      <w:autoSpaceDN w:val="0"/>
      <w:jc w:val="left"/>
    </w:pPr>
    <w:rPr>
      <w:rFonts w:ascii="Noto Sans Mono CJK JP Regular" w:hAnsi="Noto Sans Mono CJK JP Regular" w:cs="Noto Sans Mono CJK JP Regular"/>
      <w:kern w:val="0"/>
      <w:sz w:val="22"/>
      <w:szCs w:val="22"/>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4</Pages>
  <Words>1973</Words>
  <Characters>2151</Characters>
  <Lines>9</Lines>
  <Paragraphs>2</Paragraphs>
  <TotalTime>7</TotalTime>
  <ScaleCrop>false</ScaleCrop>
  <LinksUpToDate>false</LinksUpToDate>
  <CharactersWithSpaces>2291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2020-11-25T03:17:00Z</dcterms:created>
  <dc:creator>Administrator</dc:creator>
  <cp:lastModifiedBy>陈姗</cp:lastModifiedBy>
  <cp:lastPrinted>2020-11-25T04:06:00Z</cp:lastPrinted>
  <dcterms:modified xsi:type="dcterms:W3CDTF">2024-05-17T06:42:49Z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ABA363AFBDE74E72B7FAAAC0703E2A4E_13</vt:lpwstr>
  </property>
</Properties>
</file>